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12AF" w:rsidRDefault="003112AF" w:rsidP="003112AF">
      <w:pPr>
        <w:jc w:val="center"/>
        <w:rPr>
          <w:rFonts w:ascii="Century Gothic" w:hAnsi="Century Gothic"/>
          <w:sz w:val="52"/>
          <w:szCs w:val="52"/>
        </w:rPr>
      </w:pPr>
    </w:p>
    <w:p w:rsidR="003112AF" w:rsidRDefault="003112AF" w:rsidP="003112AF">
      <w:pPr>
        <w:jc w:val="center"/>
        <w:rPr>
          <w:rFonts w:ascii="Century Gothic" w:hAnsi="Century Gothic"/>
          <w:sz w:val="52"/>
          <w:szCs w:val="52"/>
        </w:rPr>
      </w:pPr>
    </w:p>
    <w:p w:rsidR="003112AF" w:rsidRDefault="003112AF" w:rsidP="003112AF">
      <w:pPr>
        <w:jc w:val="center"/>
        <w:rPr>
          <w:rFonts w:ascii="Century Gothic" w:hAnsi="Century Gothic"/>
          <w:sz w:val="52"/>
          <w:szCs w:val="52"/>
        </w:rPr>
      </w:pPr>
    </w:p>
    <w:p w:rsidR="003112AF" w:rsidRDefault="003112AF" w:rsidP="003112AF">
      <w:pPr>
        <w:jc w:val="center"/>
        <w:rPr>
          <w:rFonts w:ascii="Century Gothic" w:hAnsi="Century Gothic"/>
          <w:sz w:val="52"/>
          <w:szCs w:val="52"/>
        </w:rPr>
      </w:pPr>
    </w:p>
    <w:p w:rsidR="003112AF" w:rsidRDefault="003112AF" w:rsidP="003112AF">
      <w:pPr>
        <w:jc w:val="center"/>
        <w:rPr>
          <w:rFonts w:ascii="Century Gothic" w:hAnsi="Century Gothic"/>
          <w:sz w:val="52"/>
          <w:szCs w:val="52"/>
        </w:rPr>
      </w:pPr>
    </w:p>
    <w:p w:rsidR="003112AF" w:rsidRDefault="003112AF" w:rsidP="003112AF">
      <w:pPr>
        <w:jc w:val="center"/>
        <w:rPr>
          <w:rFonts w:ascii="Century Gothic" w:hAnsi="Century Gothic"/>
          <w:sz w:val="52"/>
          <w:szCs w:val="52"/>
        </w:rPr>
      </w:pPr>
    </w:p>
    <w:p w:rsidR="003112AF" w:rsidRDefault="003112AF" w:rsidP="003112AF">
      <w:pPr>
        <w:jc w:val="center"/>
        <w:rPr>
          <w:rFonts w:ascii="Century Gothic" w:hAnsi="Century Gothic"/>
          <w:sz w:val="52"/>
          <w:szCs w:val="52"/>
        </w:rPr>
      </w:pPr>
    </w:p>
    <w:p w:rsidR="003112AF" w:rsidRPr="00FF4C5D" w:rsidRDefault="00FF4C5D" w:rsidP="00FF4C5D">
      <w:pPr>
        <w:ind w:left="360"/>
        <w:jc w:val="center"/>
        <w:rPr>
          <w:rFonts w:ascii="Century Gothic" w:hAnsi="Century Gothic"/>
          <w:sz w:val="52"/>
          <w:szCs w:val="52"/>
        </w:rPr>
      </w:pPr>
      <w:r>
        <w:rPr>
          <w:rFonts w:ascii="Century Gothic" w:hAnsi="Century Gothic"/>
          <w:sz w:val="52"/>
          <w:szCs w:val="52"/>
        </w:rPr>
        <w:t>C)</w:t>
      </w:r>
      <w:r w:rsidR="003112AF" w:rsidRPr="00FF4C5D">
        <w:rPr>
          <w:rFonts w:ascii="Century Gothic" w:hAnsi="Century Gothic"/>
          <w:sz w:val="52"/>
          <w:szCs w:val="52"/>
        </w:rPr>
        <w:t>Branża elektryczna</w:t>
      </w: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Pr="00C42E75" w:rsidRDefault="003112AF" w:rsidP="003112AF">
      <w:pPr>
        <w:jc w:val="center"/>
        <w:rPr>
          <w:rFonts w:ascii="Century Gothic" w:hAnsi="Century Gothic"/>
          <w:b/>
        </w:rPr>
      </w:pPr>
      <w:r w:rsidRPr="00C42E75">
        <w:rPr>
          <w:rFonts w:ascii="Century Gothic" w:hAnsi="Century Gothic"/>
          <w:b/>
        </w:rPr>
        <w:t>SPIS TREŚCI</w:t>
      </w: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Default="003112AF" w:rsidP="003112AF">
      <w:pPr>
        <w:pStyle w:val="Akapitzlist"/>
        <w:jc w:val="center"/>
        <w:rPr>
          <w:rFonts w:ascii="Century Gothic" w:hAnsi="Century Gothic"/>
          <w:sz w:val="24"/>
          <w:szCs w:val="24"/>
        </w:rPr>
      </w:pPr>
    </w:p>
    <w:p w:rsidR="003112AF" w:rsidRPr="00F45C1D" w:rsidRDefault="003112AF" w:rsidP="003112AF">
      <w:pPr>
        <w:pStyle w:val="Akapitzlist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F45C1D">
        <w:rPr>
          <w:rFonts w:ascii="Century Gothic" w:hAnsi="Century Gothic"/>
        </w:rPr>
        <w:t xml:space="preserve">Branża </w:t>
      </w:r>
      <w:r>
        <w:rPr>
          <w:rFonts w:ascii="Century Gothic" w:hAnsi="Century Gothic"/>
        </w:rPr>
        <w:t>elektryczna</w:t>
      </w:r>
      <w:r w:rsidRPr="00F45C1D">
        <w:rPr>
          <w:rFonts w:ascii="Century Gothic" w:hAnsi="Century Gothic" w:cs="AvantGarde Bk BT"/>
        </w:rPr>
        <w:t>…..………</w:t>
      </w:r>
      <w:r>
        <w:rPr>
          <w:rFonts w:ascii="Century Gothic" w:hAnsi="Century Gothic" w:cs="AvantGarde Bk BT"/>
        </w:rPr>
        <w:t>……..</w:t>
      </w:r>
      <w:r w:rsidRPr="00F45C1D">
        <w:rPr>
          <w:rFonts w:ascii="Century Gothic" w:hAnsi="Century Gothic" w:cs="AvantGarde Bk BT"/>
        </w:rPr>
        <w:t>………………………</w:t>
      </w:r>
      <w:r w:rsidRPr="00F45C1D">
        <w:rPr>
          <w:rFonts w:ascii="Century Gothic" w:hAnsi="Century Gothic"/>
        </w:rPr>
        <w:t>str.</w:t>
      </w:r>
      <w:r w:rsidR="00FF4C5D">
        <w:rPr>
          <w:rFonts w:ascii="Century Gothic" w:hAnsi="Century Gothic"/>
        </w:rPr>
        <w:t>1-6</w:t>
      </w:r>
    </w:p>
    <w:p w:rsidR="003112AF" w:rsidRDefault="003112AF" w:rsidP="003112AF">
      <w:pPr>
        <w:pStyle w:val="Akapitzlist"/>
        <w:spacing w:line="240" w:lineRule="auto"/>
        <w:ind w:firstLine="360"/>
        <w:rPr>
          <w:rFonts w:ascii="Century Gothic" w:hAnsi="Century Gothic"/>
        </w:rPr>
      </w:pPr>
      <w:r>
        <w:rPr>
          <w:rFonts w:ascii="Century Gothic" w:hAnsi="Century Gothic"/>
        </w:rPr>
        <w:t>Część opisowa.................................................................str.</w:t>
      </w:r>
      <w:r w:rsidR="00FF4C5D">
        <w:rPr>
          <w:rFonts w:ascii="Century Gothic" w:hAnsi="Century Gothic"/>
        </w:rPr>
        <w:t>1-3</w:t>
      </w:r>
    </w:p>
    <w:p w:rsidR="003112AF" w:rsidRPr="00C42E75" w:rsidRDefault="003112AF" w:rsidP="003112AF">
      <w:pPr>
        <w:pStyle w:val="Akapitzlist"/>
        <w:spacing w:line="240" w:lineRule="auto"/>
        <w:ind w:firstLine="360"/>
        <w:rPr>
          <w:rFonts w:ascii="Century Gothic" w:hAnsi="Century Gothic"/>
        </w:rPr>
      </w:pPr>
      <w:r w:rsidRPr="00C42E75">
        <w:rPr>
          <w:rFonts w:ascii="Century Gothic" w:hAnsi="Century Gothic"/>
        </w:rPr>
        <w:t>Częś</w:t>
      </w:r>
      <w:r w:rsidRPr="00C42E75">
        <w:rPr>
          <w:rFonts w:ascii="Century Gothic" w:hAnsi="Century Gothic" w:cs="AvantGarde Bk BT"/>
        </w:rPr>
        <w:t>ć</w:t>
      </w:r>
      <w:r w:rsidRPr="00C42E75">
        <w:rPr>
          <w:rFonts w:ascii="Century Gothic" w:hAnsi="Century Gothic"/>
        </w:rPr>
        <w:t xml:space="preserve"> rysunkowa</w:t>
      </w:r>
      <w:r>
        <w:rPr>
          <w:rFonts w:ascii="Century Gothic" w:hAnsi="Century Gothic"/>
        </w:rPr>
        <w:t>:</w:t>
      </w:r>
    </w:p>
    <w:p w:rsidR="003112AF" w:rsidRPr="00112A02" w:rsidRDefault="003112AF" w:rsidP="003112AF">
      <w:pPr>
        <w:pStyle w:val="Akapitzlist"/>
        <w:spacing w:line="240" w:lineRule="auto"/>
        <w:ind w:left="1440"/>
        <w:rPr>
          <w:rFonts w:ascii="Century Gothic" w:hAnsi="Century Gothic"/>
        </w:rPr>
      </w:pPr>
      <w:r w:rsidRPr="00112A02">
        <w:rPr>
          <w:rFonts w:ascii="Century Gothic" w:hAnsi="Century Gothic"/>
        </w:rPr>
        <w:t>1/</w:t>
      </w:r>
      <w:r w:rsidR="00FF4C5D">
        <w:rPr>
          <w:rFonts w:ascii="Century Gothic" w:hAnsi="Century Gothic"/>
        </w:rPr>
        <w:t xml:space="preserve">E-01 Instalacje elektryczne – rzut </w:t>
      </w:r>
    </w:p>
    <w:p w:rsidR="003112AF" w:rsidRPr="00F45C1D" w:rsidRDefault="003112AF" w:rsidP="003112AF">
      <w:pPr>
        <w:pStyle w:val="Akapitzlist"/>
        <w:spacing w:line="240" w:lineRule="auto"/>
        <w:ind w:left="1440"/>
        <w:rPr>
          <w:rFonts w:ascii="Century Gothic" w:hAnsi="Century Gothic"/>
          <w:highlight w:val="yellow"/>
        </w:rPr>
      </w:pPr>
      <w:bookmarkStart w:id="0" w:name="_Hlk136330532"/>
      <w:r w:rsidRPr="00112A02">
        <w:rPr>
          <w:rFonts w:ascii="Century Gothic" w:hAnsi="Century Gothic"/>
        </w:rPr>
        <w:t>2/</w:t>
      </w:r>
      <w:r w:rsidR="00FF4C5D">
        <w:rPr>
          <w:rFonts w:ascii="Century Gothic" w:hAnsi="Century Gothic"/>
        </w:rPr>
        <w:t xml:space="preserve">E-02 Instalacje </w:t>
      </w:r>
      <w:proofErr w:type="spellStart"/>
      <w:r w:rsidR="00FF4C5D">
        <w:rPr>
          <w:rFonts w:ascii="Century Gothic" w:hAnsi="Century Gothic"/>
        </w:rPr>
        <w:t>SSWiN</w:t>
      </w:r>
      <w:proofErr w:type="spellEnd"/>
      <w:r w:rsidR="00FF4C5D">
        <w:rPr>
          <w:rFonts w:ascii="Century Gothic" w:hAnsi="Century Gothic"/>
        </w:rPr>
        <w:t xml:space="preserve"> i SKD</w:t>
      </w:r>
    </w:p>
    <w:bookmarkEnd w:id="0"/>
    <w:p w:rsidR="00FF4C5D" w:rsidRPr="00F45C1D" w:rsidRDefault="00FF4C5D" w:rsidP="00FF4C5D">
      <w:pPr>
        <w:pStyle w:val="Akapitzlist"/>
        <w:spacing w:line="240" w:lineRule="auto"/>
        <w:ind w:left="1440"/>
        <w:rPr>
          <w:rFonts w:ascii="Century Gothic" w:hAnsi="Century Gothic"/>
          <w:highlight w:val="yellow"/>
        </w:rPr>
      </w:pPr>
      <w:r>
        <w:rPr>
          <w:rFonts w:ascii="Century Gothic" w:hAnsi="Century Gothic"/>
        </w:rPr>
        <w:t>3</w:t>
      </w:r>
      <w:r w:rsidRPr="00112A02">
        <w:rPr>
          <w:rFonts w:ascii="Century Gothic" w:hAnsi="Century Gothic"/>
        </w:rPr>
        <w:t>/</w:t>
      </w:r>
      <w:r>
        <w:rPr>
          <w:rFonts w:ascii="Century Gothic" w:hAnsi="Century Gothic"/>
        </w:rPr>
        <w:t>E-0</w:t>
      </w:r>
      <w:r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Rozdzielnica T1-1</w:t>
      </w:r>
    </w:p>
    <w:p w:rsidR="003112AF" w:rsidRPr="00F45C1D" w:rsidRDefault="003112AF" w:rsidP="003112AF">
      <w:pPr>
        <w:pStyle w:val="Akapitzlist"/>
        <w:rPr>
          <w:rFonts w:ascii="Century Gothic" w:hAnsi="Century Gothic"/>
          <w:sz w:val="28"/>
          <w:szCs w:val="28"/>
        </w:rPr>
      </w:pPr>
    </w:p>
    <w:p w:rsidR="003112AF" w:rsidRDefault="003112AF" w:rsidP="003112AF">
      <w:pPr>
        <w:jc w:val="center"/>
        <w:rPr>
          <w:rFonts w:ascii="Century Gothic" w:hAnsi="Century Gothic"/>
        </w:rPr>
      </w:pPr>
    </w:p>
    <w:p w:rsidR="003112AF" w:rsidRDefault="003112AF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D3326A" w:rsidRDefault="00D3326A" w:rsidP="003112AF">
      <w:pPr>
        <w:jc w:val="center"/>
        <w:rPr>
          <w:rFonts w:ascii="Century Gothic" w:hAnsi="Century Gothic"/>
        </w:rPr>
      </w:pPr>
    </w:p>
    <w:p w:rsidR="003112AF" w:rsidRDefault="003112AF" w:rsidP="003112AF">
      <w:pPr>
        <w:jc w:val="center"/>
        <w:rPr>
          <w:rFonts w:ascii="Century Gothic" w:hAnsi="Century Gothic"/>
        </w:rPr>
      </w:pPr>
    </w:p>
    <w:p w:rsidR="00D3326A" w:rsidRPr="001B62B8" w:rsidRDefault="00D3326A" w:rsidP="00D3326A">
      <w:pPr>
        <w:pStyle w:val="ListParagraph"/>
        <w:numPr>
          <w:ilvl w:val="1"/>
          <w:numId w:val="4"/>
        </w:numPr>
        <w:ind w:left="709" w:hanging="425"/>
        <w:jc w:val="both"/>
        <w:rPr>
          <w:rFonts w:ascii="Calibri" w:hAnsi="Calibri"/>
          <w:b/>
          <w:bCs/>
        </w:rPr>
      </w:pPr>
      <w:bookmarkStart w:id="1" w:name="_Hlk125623906"/>
      <w:r w:rsidRPr="0064194C">
        <w:rPr>
          <w:rFonts w:ascii="Calibri" w:hAnsi="Calibri"/>
          <w:b/>
        </w:rPr>
        <w:t>WEWNĘTRZNE LINIE ZASILAJĄCE (WLZ).</w:t>
      </w:r>
    </w:p>
    <w:bookmarkEnd w:id="1"/>
    <w:p w:rsidR="00D3326A" w:rsidRPr="0064194C" w:rsidRDefault="00D3326A" w:rsidP="00D3326A">
      <w:pPr>
        <w:pStyle w:val="NoSpacing"/>
        <w:spacing w:line="276" w:lineRule="auto"/>
        <w:ind w:left="709"/>
        <w:rPr>
          <w:rFonts w:ascii="Calibri" w:hAnsi="Calibri" w:cs="Calibri"/>
        </w:rPr>
      </w:pPr>
      <w:r w:rsidRPr="0064194C">
        <w:rPr>
          <w:rFonts w:ascii="Calibri" w:hAnsi="Calibri" w:cs="Calibri"/>
        </w:rPr>
        <w:t xml:space="preserve">Zastosować układ sieci niskiego napięcia TN-S. </w:t>
      </w:r>
    </w:p>
    <w:p w:rsidR="00D3326A" w:rsidRDefault="00D3326A" w:rsidP="00D3326A">
      <w:pPr>
        <w:pStyle w:val="NoSpacing"/>
        <w:spacing w:line="276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Istniejącą tablicę elektryczną T1 zdemontować. Istniejący kabel YAKY 4x25 zasilający rozdzielnicę T1 zdemontować. W miejsce </w:t>
      </w:r>
      <w:proofErr w:type="spellStart"/>
      <w:r>
        <w:rPr>
          <w:rFonts w:ascii="Calibri" w:hAnsi="Calibri" w:cs="Calibri"/>
        </w:rPr>
        <w:t>ist</w:t>
      </w:r>
      <w:proofErr w:type="spellEnd"/>
      <w:r>
        <w:rPr>
          <w:rFonts w:ascii="Calibri" w:hAnsi="Calibri" w:cs="Calibri"/>
        </w:rPr>
        <w:t xml:space="preserve">. rozdzielnicy T1 zamontować nową rozdzielnicę T1.1 </w:t>
      </w:r>
      <w:proofErr w:type="spellStart"/>
      <w:r>
        <w:rPr>
          <w:rFonts w:ascii="Calibri" w:hAnsi="Calibri" w:cs="Calibri"/>
        </w:rPr>
        <w:t>pt</w:t>
      </w:r>
      <w:proofErr w:type="spellEnd"/>
      <w:r>
        <w:rPr>
          <w:rFonts w:ascii="Calibri" w:hAnsi="Calibri" w:cs="Calibri"/>
        </w:rPr>
        <w:t xml:space="preserve"> wg rys. E-</w:t>
      </w:r>
      <w:r w:rsidR="003E48E1">
        <w:rPr>
          <w:rFonts w:ascii="Calibri" w:hAnsi="Calibri" w:cs="Calibri"/>
        </w:rPr>
        <w:t>0</w:t>
      </w:r>
      <w:r>
        <w:rPr>
          <w:rFonts w:ascii="Calibri" w:hAnsi="Calibri" w:cs="Calibri"/>
        </w:rPr>
        <w:t>3.</w:t>
      </w:r>
      <w:r w:rsidRPr="0064194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Rozdzielnicę zasilić kablem N2XH-J 5x25 z pola  rozdzielni głównej zwolnionego po zdemontowanym kablu YAKY 4x25. Projektowany kabel N2XH-J 5x25 prowadzić po trasie zdemontowanego kabla YAKY 4x25. Z rozdzielnicy T1-1 zasilić obwody wg </w:t>
      </w:r>
      <w:proofErr w:type="spellStart"/>
      <w:r>
        <w:rPr>
          <w:rFonts w:ascii="Calibri" w:hAnsi="Calibri" w:cs="Calibri"/>
        </w:rPr>
        <w:t>rs</w:t>
      </w:r>
      <w:proofErr w:type="spellEnd"/>
      <w:r>
        <w:rPr>
          <w:rFonts w:ascii="Calibri" w:hAnsi="Calibri" w:cs="Calibri"/>
        </w:rPr>
        <w:t>. E</w:t>
      </w:r>
      <w:r w:rsidR="003E48E1">
        <w:rPr>
          <w:rFonts w:ascii="Calibri" w:hAnsi="Calibri" w:cs="Calibri"/>
        </w:rPr>
        <w:t>-0</w:t>
      </w:r>
      <w:r>
        <w:rPr>
          <w:rFonts w:ascii="Calibri" w:hAnsi="Calibri" w:cs="Calibri"/>
        </w:rPr>
        <w:t xml:space="preserve">3. Pozostałe unieczynnić.   </w:t>
      </w:r>
    </w:p>
    <w:p w:rsidR="00D3326A" w:rsidRDefault="00D3326A" w:rsidP="00D3326A">
      <w:pPr>
        <w:pStyle w:val="NoSpacing"/>
        <w:spacing w:line="276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>W rozdzielnicy T2 unieczynnić obwody po modernizacji zasilane z rozdzielnicy T1-1.</w:t>
      </w:r>
    </w:p>
    <w:p w:rsidR="00D3326A" w:rsidRPr="0064194C" w:rsidRDefault="00D3326A" w:rsidP="00D3326A">
      <w:pPr>
        <w:pStyle w:val="NoSpacing"/>
        <w:spacing w:line="276" w:lineRule="auto"/>
        <w:ind w:left="709"/>
        <w:rPr>
          <w:rFonts w:ascii="Calibri" w:hAnsi="Calibri" w:cs="Calibri"/>
        </w:rPr>
      </w:pPr>
      <w:r w:rsidRPr="0064194C">
        <w:rPr>
          <w:rFonts w:ascii="Calibri" w:hAnsi="Calibri" w:cs="Calibri"/>
        </w:rPr>
        <w:t>Uwaga:</w:t>
      </w:r>
    </w:p>
    <w:p w:rsidR="00D3326A" w:rsidRPr="0064194C" w:rsidRDefault="00D3326A" w:rsidP="00D3326A">
      <w:pPr>
        <w:pStyle w:val="NoSpacing"/>
        <w:spacing w:line="276" w:lineRule="auto"/>
        <w:ind w:left="709"/>
        <w:rPr>
          <w:rFonts w:ascii="Calibri" w:hAnsi="Calibri" w:cs="Calibri"/>
        </w:rPr>
      </w:pPr>
      <w:r w:rsidRPr="0064194C">
        <w:rPr>
          <w:rFonts w:ascii="Calibri" w:hAnsi="Calibri" w:cs="Calibri"/>
        </w:rPr>
        <w:t>Przejścia kabli przez przegrody wykonać w klasie odporności ogniowej zgodnej z klas</w:t>
      </w:r>
      <w:r w:rsidR="00F04FF9">
        <w:rPr>
          <w:rFonts w:ascii="Calibri" w:hAnsi="Calibri" w:cs="Calibri"/>
        </w:rPr>
        <w:t>ą</w:t>
      </w:r>
      <w:r w:rsidRPr="0064194C">
        <w:rPr>
          <w:rFonts w:ascii="Calibri" w:hAnsi="Calibri" w:cs="Calibri"/>
        </w:rPr>
        <w:t xml:space="preserve"> odporności ogniowej przegrody.   Przejścia przez strefy pożarowe muszą spełniać kryteria szczelności i izolacyjności ogniowej. Uszczelnienie przepustów kablowych (kombinowanych) wykonać przy zastosowaniu sprawdzonych rozwiązań konstrukcyjnych </w:t>
      </w:r>
      <w:r w:rsidR="00F04FF9">
        <w:rPr>
          <w:rFonts w:ascii="Calibri" w:hAnsi="Calibri" w:cs="Calibri"/>
        </w:rPr>
        <w:t>.</w:t>
      </w:r>
    </w:p>
    <w:p w:rsidR="00D3326A" w:rsidRPr="0064194C" w:rsidRDefault="00D3326A" w:rsidP="00D3326A">
      <w:pPr>
        <w:pStyle w:val="ListParagraph"/>
        <w:numPr>
          <w:ilvl w:val="1"/>
          <w:numId w:val="4"/>
        </w:numPr>
        <w:jc w:val="both"/>
        <w:rPr>
          <w:rFonts w:ascii="Calibri" w:hAnsi="Calibri"/>
          <w:b/>
          <w:bCs/>
        </w:rPr>
      </w:pPr>
      <w:bookmarkStart w:id="2" w:name="_Hlk125624543"/>
      <w:r w:rsidRPr="0064194C">
        <w:rPr>
          <w:rFonts w:ascii="Calibri" w:hAnsi="Calibri"/>
          <w:b/>
        </w:rPr>
        <w:t>INSTALACJE ELEKTRYCZNE.</w:t>
      </w:r>
    </w:p>
    <w:bookmarkEnd w:id="2"/>
    <w:p w:rsidR="00D3326A" w:rsidRDefault="00D3326A" w:rsidP="00D3326A">
      <w:pPr>
        <w:pStyle w:val="ListParagraph"/>
        <w:jc w:val="both"/>
        <w:rPr>
          <w:rFonts w:ascii="Calibri" w:hAnsi="Calibri"/>
          <w:b/>
          <w:bCs/>
        </w:rPr>
      </w:pPr>
      <w:r w:rsidRPr="0064194C">
        <w:rPr>
          <w:rFonts w:ascii="Calibri" w:hAnsi="Calibri"/>
          <w:b/>
          <w:bCs/>
        </w:rPr>
        <w:t xml:space="preserve">Instalacje elektryczne w poszczególnych </w:t>
      </w:r>
      <w:r>
        <w:rPr>
          <w:rFonts w:ascii="Calibri" w:hAnsi="Calibri"/>
          <w:b/>
          <w:bCs/>
        </w:rPr>
        <w:t>pomieszczeniach</w:t>
      </w:r>
      <w:r w:rsidRPr="0064194C">
        <w:rPr>
          <w:rFonts w:ascii="Calibri" w:hAnsi="Calibri"/>
          <w:b/>
          <w:bCs/>
        </w:rPr>
        <w:t xml:space="preserve"> przed montażem uzgodnić </w:t>
      </w:r>
      <w:r>
        <w:rPr>
          <w:rFonts w:ascii="Calibri" w:hAnsi="Calibri"/>
          <w:b/>
          <w:bCs/>
        </w:rPr>
        <w:t>z Inwestorem</w:t>
      </w:r>
      <w:r w:rsidRPr="0064194C">
        <w:rPr>
          <w:rFonts w:ascii="Calibri" w:hAnsi="Calibri"/>
          <w:b/>
          <w:bCs/>
        </w:rPr>
        <w:t>, zgodnie z ich potrzebami i wymogami</w:t>
      </w:r>
      <w:r>
        <w:rPr>
          <w:rFonts w:ascii="Calibri" w:hAnsi="Calibri"/>
          <w:b/>
          <w:bCs/>
        </w:rPr>
        <w:t>.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>Pomieszczenia wyposażone zostaną w następujące instalacje:</w:t>
      </w:r>
    </w:p>
    <w:p w:rsidR="00D3326A" w:rsidRPr="0064194C" w:rsidRDefault="00D3326A" w:rsidP="00D3326A">
      <w:pPr>
        <w:pStyle w:val="ListParagraph"/>
        <w:rPr>
          <w:rFonts w:ascii="Calibri" w:hAnsi="Calibri" w:cs="Calibri"/>
          <w:u w:val="single"/>
        </w:rPr>
      </w:pPr>
      <w:r w:rsidRPr="0064194C">
        <w:rPr>
          <w:rFonts w:ascii="Calibri" w:hAnsi="Calibri" w:cs="Calibri"/>
          <w:u w:val="single"/>
        </w:rPr>
        <w:t xml:space="preserve">Instalacje oświetlenia ogólnego </w:t>
      </w:r>
    </w:p>
    <w:p w:rsidR="00D3326A" w:rsidRPr="0064194C" w:rsidRDefault="00D3326A" w:rsidP="00D3326A">
      <w:pPr>
        <w:pStyle w:val="ListParagraph"/>
        <w:rPr>
          <w:rFonts w:ascii="Calibri" w:hAnsi="Calibri" w:cs="Calibri"/>
        </w:rPr>
      </w:pPr>
      <w:r w:rsidRPr="0048343A">
        <w:rPr>
          <w:rFonts w:ascii="Calibri" w:hAnsi="Calibri" w:cs="Calibri"/>
        </w:rPr>
        <w:t>Montować osprzęt koloru szarego.</w:t>
      </w:r>
      <w:r>
        <w:rPr>
          <w:rFonts w:ascii="Calibri" w:hAnsi="Calibri" w:cs="Calibri"/>
        </w:rPr>
        <w:t xml:space="preserve"> </w:t>
      </w:r>
      <w:r w:rsidRPr="0064194C">
        <w:rPr>
          <w:rFonts w:ascii="Calibri" w:hAnsi="Calibri" w:cs="Calibri"/>
        </w:rPr>
        <w:t>Dobór i rozmieszczenie opraw wg projektu wyposażenia wnętrz uwzględniające wymogi świetlne</w:t>
      </w:r>
      <w:r>
        <w:rPr>
          <w:rFonts w:ascii="Calibri" w:hAnsi="Calibri" w:cs="Calibri"/>
        </w:rPr>
        <w:t xml:space="preserve"> </w:t>
      </w:r>
      <w:r w:rsidRPr="0064194C">
        <w:rPr>
          <w:rFonts w:ascii="Calibri" w:hAnsi="Calibri" w:cs="Calibri"/>
        </w:rPr>
        <w:t>i elektryczne dla tego obiektu . Sterowanie oświetlenia czujnikami ruchu lub wyłącznikami.</w:t>
      </w:r>
    </w:p>
    <w:p w:rsidR="00D3326A" w:rsidRPr="0064194C" w:rsidRDefault="00D3326A" w:rsidP="00D3326A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64194C">
        <w:rPr>
          <w:rFonts w:ascii="Calibri" w:hAnsi="Calibri" w:cs="Calibri"/>
        </w:rPr>
        <w:t>tosować przewody</w:t>
      </w:r>
      <w:r>
        <w:rPr>
          <w:rFonts w:ascii="Calibri" w:hAnsi="Calibri" w:cs="Calibri"/>
        </w:rPr>
        <w:t xml:space="preserve"> </w:t>
      </w:r>
      <w:r w:rsidRPr="0064194C">
        <w:rPr>
          <w:rFonts w:ascii="Calibri" w:hAnsi="Calibri" w:cs="Calibri"/>
        </w:rPr>
        <w:t>typu  N2XH-J 3x1,5 (B2ca</w:t>
      </w:r>
      <w:r w:rsidRPr="0064194C">
        <w:rPr>
          <w:rFonts w:ascii="Cambria Math" w:hAnsi="Cambria Math" w:cs="Cambria Math"/>
        </w:rPr>
        <w:t>‑</w:t>
      </w:r>
      <w:r w:rsidRPr="0064194C">
        <w:rPr>
          <w:rFonts w:ascii="Calibri" w:hAnsi="Calibri" w:cs="Calibri"/>
        </w:rPr>
        <w:t xml:space="preserve">s1a, d0, a1). W nawiasie podano klasę reakcji na ogień . </w:t>
      </w:r>
    </w:p>
    <w:p w:rsidR="00D3326A" w:rsidRPr="0064194C" w:rsidRDefault="00D3326A" w:rsidP="00D3326A">
      <w:pPr>
        <w:pStyle w:val="ListParagraph"/>
        <w:rPr>
          <w:rFonts w:ascii="Calibri" w:hAnsi="Calibri" w:cs="Calibri"/>
        </w:rPr>
      </w:pPr>
      <w:r w:rsidRPr="0064194C">
        <w:rPr>
          <w:rFonts w:ascii="Calibri" w:hAnsi="Calibri" w:cs="Calibri"/>
        </w:rPr>
        <w:t>Rozmieszczenie urządzeń wg rys. E-</w:t>
      </w:r>
      <w:r>
        <w:rPr>
          <w:rFonts w:ascii="Calibri" w:hAnsi="Calibri" w:cs="Calibri"/>
        </w:rPr>
        <w:t>0</w:t>
      </w:r>
      <w:r w:rsidR="003E48E1">
        <w:rPr>
          <w:rFonts w:ascii="Calibri" w:hAnsi="Calibri" w:cs="Calibri"/>
        </w:rPr>
        <w:t>1</w:t>
      </w:r>
      <w:r w:rsidRPr="0064194C">
        <w:rPr>
          <w:rFonts w:ascii="Calibri" w:hAnsi="Calibri" w:cs="Calibri"/>
        </w:rPr>
        <w:t xml:space="preserve"> .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 w:rsidRPr="0064194C">
        <w:rPr>
          <w:rFonts w:ascii="Calibri" w:hAnsi="Calibri" w:cs="Calibri"/>
        </w:rPr>
        <w:t>Rodzaje zastosowanego osprzętu przedstawiono na planach instalacji. Przy wykonaniu instalacji elektrycznej nie instalować puszek rozgałęźnych. Wyłączniki montowane na wysokości 1,2 m od podłoża.</w:t>
      </w:r>
    </w:p>
    <w:p w:rsidR="00D3326A" w:rsidRPr="00AC09D8" w:rsidRDefault="00D3326A" w:rsidP="00D3326A">
      <w:pPr>
        <w:pStyle w:val="ListParagraph"/>
        <w:rPr>
          <w:rFonts w:ascii="Calibri" w:hAnsi="Calibri" w:cs="Calibri"/>
          <w:u w:val="single"/>
        </w:rPr>
      </w:pPr>
      <w:r w:rsidRPr="00AC09D8">
        <w:rPr>
          <w:rFonts w:ascii="Calibri" w:hAnsi="Calibri" w:cs="Calibri"/>
          <w:u w:val="single"/>
        </w:rPr>
        <w:t xml:space="preserve">Instalacja gniazd wtyczkowych 230V  </w:t>
      </w:r>
    </w:p>
    <w:p w:rsidR="00D3326A" w:rsidRPr="00AC09D8" w:rsidRDefault="00D3326A" w:rsidP="00D3326A">
      <w:pPr>
        <w:pStyle w:val="ListParagraph"/>
        <w:rPr>
          <w:rFonts w:ascii="Calibri" w:hAnsi="Calibri" w:cs="Calibri"/>
        </w:rPr>
      </w:pPr>
      <w:r w:rsidRPr="0048343A">
        <w:rPr>
          <w:rFonts w:ascii="Calibri" w:hAnsi="Calibri" w:cs="Calibri"/>
        </w:rPr>
        <w:t>Montować osprzęt koloru szarego.</w:t>
      </w:r>
      <w:r>
        <w:rPr>
          <w:rFonts w:ascii="Calibri" w:hAnsi="Calibri" w:cs="Calibri"/>
        </w:rPr>
        <w:t xml:space="preserve"> </w:t>
      </w:r>
      <w:r w:rsidRPr="00AC09D8">
        <w:rPr>
          <w:rFonts w:ascii="Calibri" w:hAnsi="Calibri" w:cs="Calibri"/>
        </w:rPr>
        <w:t xml:space="preserve">Wszystkie gniazda ze stykiem ochronnym. </w:t>
      </w:r>
    </w:p>
    <w:p w:rsidR="00D3326A" w:rsidRPr="00AC09D8" w:rsidRDefault="00D3326A" w:rsidP="00D3326A">
      <w:pPr>
        <w:pStyle w:val="ListParagraph"/>
        <w:rPr>
          <w:rFonts w:ascii="Calibri" w:hAnsi="Calibri" w:cs="Calibri"/>
        </w:rPr>
      </w:pPr>
      <w:r w:rsidRPr="00AC09D8">
        <w:rPr>
          <w:rFonts w:ascii="Calibri" w:hAnsi="Calibri" w:cs="Calibri"/>
        </w:rPr>
        <w:t xml:space="preserve">Gniazda instalować na wysokości 0,3 m od podłogi. </w:t>
      </w:r>
      <w:r>
        <w:rPr>
          <w:rFonts w:ascii="Calibri" w:hAnsi="Calibri" w:cs="Calibri"/>
        </w:rPr>
        <w:t>S</w:t>
      </w:r>
      <w:r w:rsidRPr="00AC09D8">
        <w:rPr>
          <w:rFonts w:ascii="Calibri" w:hAnsi="Calibri" w:cs="Calibri"/>
        </w:rPr>
        <w:t>tosować przewody</w:t>
      </w:r>
      <w:r>
        <w:rPr>
          <w:rFonts w:ascii="Calibri" w:hAnsi="Calibri" w:cs="Calibri"/>
        </w:rPr>
        <w:t xml:space="preserve"> </w:t>
      </w:r>
      <w:r w:rsidRPr="00AC09D8">
        <w:rPr>
          <w:rFonts w:ascii="Calibri" w:hAnsi="Calibri" w:cs="Calibri"/>
        </w:rPr>
        <w:t xml:space="preserve"> typu  N2XH-J 3x2,5 (B2ca</w:t>
      </w:r>
      <w:r w:rsidRPr="00AC09D8">
        <w:rPr>
          <w:rFonts w:ascii="Cambria Math" w:hAnsi="Cambria Math" w:cs="Cambria Math"/>
        </w:rPr>
        <w:t>‑</w:t>
      </w:r>
      <w:r w:rsidRPr="00AC09D8">
        <w:rPr>
          <w:rFonts w:ascii="Calibri" w:hAnsi="Calibri" w:cs="Calibri"/>
        </w:rPr>
        <w:t xml:space="preserve">s1a, d0, a1). W nawiasie podano klasę reakcji na ogień . </w:t>
      </w:r>
    </w:p>
    <w:p w:rsidR="00D3326A" w:rsidRPr="00AC09D8" w:rsidRDefault="00D3326A" w:rsidP="00D3326A">
      <w:pPr>
        <w:pStyle w:val="ListParagraph"/>
        <w:rPr>
          <w:rFonts w:ascii="Calibri" w:hAnsi="Calibri" w:cs="Calibri"/>
        </w:rPr>
      </w:pPr>
      <w:r w:rsidRPr="00AC09D8">
        <w:rPr>
          <w:rFonts w:ascii="Calibri" w:hAnsi="Calibri" w:cs="Calibri"/>
        </w:rPr>
        <w:t xml:space="preserve">Gniazda </w:t>
      </w:r>
      <w:proofErr w:type="spellStart"/>
      <w:r w:rsidRPr="00AC09D8">
        <w:rPr>
          <w:rFonts w:ascii="Calibri" w:hAnsi="Calibri" w:cs="Calibri"/>
        </w:rPr>
        <w:t>nadblatowe</w:t>
      </w:r>
      <w:proofErr w:type="spellEnd"/>
      <w:r w:rsidRPr="00AC09D8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1,25</w:t>
      </w:r>
      <w:r w:rsidRPr="00AC09D8">
        <w:rPr>
          <w:rFonts w:ascii="Calibri" w:hAnsi="Calibri" w:cs="Calibri"/>
        </w:rPr>
        <w:t xml:space="preserve"> m od podłoża. </w:t>
      </w:r>
    </w:p>
    <w:p w:rsidR="003E48E1" w:rsidRDefault="00D3326A" w:rsidP="00D3326A">
      <w:pPr>
        <w:pStyle w:val="ListParagraph"/>
        <w:rPr>
          <w:rFonts w:ascii="Calibri" w:hAnsi="Calibri" w:cs="Calibri"/>
        </w:rPr>
      </w:pPr>
      <w:r w:rsidRPr="00AC09D8">
        <w:rPr>
          <w:rFonts w:ascii="Calibri" w:hAnsi="Calibri" w:cs="Calibri"/>
        </w:rPr>
        <w:t xml:space="preserve">Przed wykonaniem instalacji elektrycznej w </w:t>
      </w:r>
      <w:r>
        <w:rPr>
          <w:rFonts w:ascii="Calibri" w:hAnsi="Calibri" w:cs="Calibri"/>
        </w:rPr>
        <w:t>sanitariatach</w:t>
      </w:r>
      <w:r w:rsidRPr="00AC09D8">
        <w:rPr>
          <w:rFonts w:ascii="Calibri" w:hAnsi="Calibri" w:cs="Calibri"/>
        </w:rPr>
        <w:t xml:space="preserve"> powinna być wykonana instalacja </w:t>
      </w:r>
      <w:proofErr w:type="spellStart"/>
      <w:r w:rsidRPr="00AC09D8">
        <w:rPr>
          <w:rFonts w:ascii="Calibri" w:hAnsi="Calibri" w:cs="Calibri"/>
        </w:rPr>
        <w:t>wod-kan</w:t>
      </w:r>
      <w:proofErr w:type="spellEnd"/>
      <w:r w:rsidRPr="00AC09D8">
        <w:rPr>
          <w:rFonts w:ascii="Calibri" w:hAnsi="Calibri" w:cs="Calibri"/>
        </w:rPr>
        <w:t xml:space="preserve"> i c.o., aby zapewnić </w:t>
      </w:r>
      <w:r w:rsidR="003E48E1">
        <w:rPr>
          <w:rFonts w:ascii="Calibri" w:hAnsi="Calibri" w:cs="Calibri"/>
        </w:rPr>
        <w:t xml:space="preserve">niezbędną </w:t>
      </w:r>
      <w:r w:rsidRPr="00AC09D8">
        <w:rPr>
          <w:rFonts w:ascii="Calibri" w:hAnsi="Calibri" w:cs="Calibri"/>
        </w:rPr>
        <w:t>odległość osprzętu elektrycznego</w:t>
      </w:r>
      <w:r w:rsidR="003E48E1">
        <w:rPr>
          <w:rFonts w:ascii="Calibri" w:hAnsi="Calibri" w:cs="Calibri"/>
        </w:rPr>
        <w:t xml:space="preserve"> od urządzeń.</w:t>
      </w:r>
      <w:r w:rsidRPr="00AC09D8">
        <w:rPr>
          <w:rFonts w:ascii="Calibri" w:hAnsi="Calibri" w:cs="Calibri"/>
        </w:rPr>
        <w:t xml:space="preserve"> </w:t>
      </w:r>
    </w:p>
    <w:p w:rsidR="00D3326A" w:rsidRPr="00AC09D8" w:rsidRDefault="00D3326A" w:rsidP="00D3326A">
      <w:pPr>
        <w:pStyle w:val="ListParagraph"/>
        <w:rPr>
          <w:rFonts w:ascii="Calibri" w:hAnsi="Calibri" w:cs="Calibri"/>
          <w:u w:val="single"/>
        </w:rPr>
      </w:pPr>
      <w:r w:rsidRPr="00AC09D8">
        <w:rPr>
          <w:rFonts w:ascii="Calibri" w:hAnsi="Calibri" w:cs="Calibri"/>
          <w:u w:val="single"/>
        </w:rPr>
        <w:t xml:space="preserve">Instalacje  do urządzeń technicznych </w:t>
      </w:r>
    </w:p>
    <w:p w:rsidR="00D3326A" w:rsidRPr="00AC09D8" w:rsidRDefault="00D3326A" w:rsidP="00D3326A">
      <w:pPr>
        <w:pStyle w:val="ListParagraph"/>
        <w:rPr>
          <w:rFonts w:ascii="Calibri" w:hAnsi="Calibri" w:cs="Calibri"/>
        </w:rPr>
      </w:pPr>
      <w:r w:rsidRPr="00AC09D8">
        <w:rPr>
          <w:rFonts w:ascii="Calibri" w:hAnsi="Calibri" w:cs="Calibri"/>
        </w:rPr>
        <w:t xml:space="preserve">Stosować </w:t>
      </w:r>
      <w:r w:rsidR="00F04FF9">
        <w:rPr>
          <w:rFonts w:ascii="Calibri" w:hAnsi="Calibri" w:cs="Calibri"/>
        </w:rPr>
        <w:t>przewody</w:t>
      </w:r>
      <w:r w:rsidRPr="00AC09D8">
        <w:rPr>
          <w:rFonts w:ascii="Calibri" w:hAnsi="Calibri" w:cs="Calibri"/>
        </w:rPr>
        <w:t xml:space="preserve">  typu N2XH-J ( ułożone w korytkach</w:t>
      </w:r>
      <w:r w:rsidR="003E48E1">
        <w:rPr>
          <w:rFonts w:ascii="Calibri" w:hAnsi="Calibri" w:cs="Calibri"/>
        </w:rPr>
        <w:t xml:space="preserve"> nad stropem podwieszanym bądź pod tynk</w:t>
      </w:r>
      <w:r w:rsidRPr="00AC09D8">
        <w:rPr>
          <w:rFonts w:ascii="Calibri" w:hAnsi="Calibri" w:cs="Calibri"/>
        </w:rPr>
        <w:t>) o przekrojach jak na schemacie.</w:t>
      </w:r>
    </w:p>
    <w:p w:rsidR="00D3326A" w:rsidRPr="00AC09D8" w:rsidRDefault="00D3326A" w:rsidP="00D3326A">
      <w:pPr>
        <w:pStyle w:val="ListParagraph"/>
        <w:rPr>
          <w:rFonts w:ascii="Calibri" w:hAnsi="Calibri" w:cs="Calibri"/>
          <w:u w:val="single"/>
        </w:rPr>
      </w:pPr>
      <w:bookmarkStart w:id="3" w:name="_Hlk132629420"/>
      <w:r w:rsidRPr="00AC09D8">
        <w:rPr>
          <w:rFonts w:ascii="Calibri" w:hAnsi="Calibri" w:cs="Calibri"/>
          <w:u w:val="single"/>
        </w:rPr>
        <w:t xml:space="preserve">Instalacja </w:t>
      </w:r>
      <w:proofErr w:type="spellStart"/>
      <w:r w:rsidRPr="00AC09D8">
        <w:rPr>
          <w:rFonts w:ascii="Calibri" w:hAnsi="Calibri" w:cs="Calibri"/>
          <w:u w:val="single"/>
        </w:rPr>
        <w:t>SSWiN</w:t>
      </w:r>
      <w:proofErr w:type="spellEnd"/>
      <w:r w:rsidRPr="00AC09D8">
        <w:rPr>
          <w:rFonts w:ascii="Calibri" w:hAnsi="Calibri" w:cs="Calibri"/>
          <w:u w:val="single"/>
        </w:rPr>
        <w:t xml:space="preserve"> </w:t>
      </w:r>
      <w:r>
        <w:rPr>
          <w:rFonts w:ascii="Calibri" w:hAnsi="Calibri" w:cs="Calibri"/>
          <w:u w:val="single"/>
        </w:rPr>
        <w:t>i KD.</w:t>
      </w:r>
    </w:p>
    <w:bookmarkEnd w:id="3"/>
    <w:p w:rsidR="00D3326A" w:rsidRDefault="00D3326A" w:rsidP="00D3326A">
      <w:pPr>
        <w:pStyle w:val="ListParagraph"/>
        <w:rPr>
          <w:rFonts w:ascii="Calibri" w:hAnsi="Calibri" w:cs="Calibri"/>
        </w:rPr>
      </w:pPr>
      <w:r w:rsidRPr="00AC09D8">
        <w:rPr>
          <w:rFonts w:ascii="Calibri" w:hAnsi="Calibri" w:cs="Calibri"/>
        </w:rPr>
        <w:t xml:space="preserve">Zaprojektowano </w:t>
      </w:r>
      <w:r>
        <w:rPr>
          <w:rFonts w:ascii="Calibri" w:hAnsi="Calibri" w:cs="Calibri"/>
        </w:rPr>
        <w:t>system</w:t>
      </w:r>
      <w:r w:rsidRPr="00AC09D8">
        <w:rPr>
          <w:rFonts w:ascii="Calibri" w:hAnsi="Calibri" w:cs="Calibri"/>
        </w:rPr>
        <w:t xml:space="preserve"> </w:t>
      </w:r>
      <w:proofErr w:type="spellStart"/>
      <w:r w:rsidRPr="00AC09D8">
        <w:rPr>
          <w:rFonts w:ascii="Calibri" w:hAnsi="Calibri" w:cs="Calibri"/>
        </w:rPr>
        <w:t>SSWiN</w:t>
      </w:r>
      <w:proofErr w:type="spellEnd"/>
      <w:r w:rsidRPr="00AC09D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i KD. Instalacje wykonać zgodnie z rys.</w:t>
      </w:r>
      <w:r w:rsidR="003E48E1">
        <w:rPr>
          <w:rFonts w:ascii="Calibri" w:hAnsi="Calibri" w:cs="Calibri"/>
        </w:rPr>
        <w:t xml:space="preserve">E-01 i </w:t>
      </w:r>
      <w:r>
        <w:rPr>
          <w:rFonts w:ascii="Calibri" w:hAnsi="Calibri" w:cs="Calibri"/>
        </w:rPr>
        <w:t>E-02</w:t>
      </w:r>
      <w:r w:rsidR="003E48E1">
        <w:rPr>
          <w:rFonts w:ascii="Calibri" w:hAnsi="Calibri" w:cs="Calibri"/>
        </w:rPr>
        <w:t>.</w:t>
      </w:r>
    </w:p>
    <w:p w:rsidR="003E48E1" w:rsidRDefault="003E48E1" w:rsidP="00D3326A">
      <w:pPr>
        <w:pStyle w:val="ListParagraph"/>
        <w:rPr>
          <w:rFonts w:ascii="Calibri" w:hAnsi="Calibri" w:cs="Calibri"/>
        </w:rPr>
      </w:pPr>
    </w:p>
    <w:p w:rsidR="003E48E1" w:rsidRDefault="003E48E1" w:rsidP="00D3326A">
      <w:pPr>
        <w:pStyle w:val="ListParagraph"/>
        <w:rPr>
          <w:rFonts w:ascii="Calibri" w:hAnsi="Calibri" w:cs="Calibri"/>
        </w:rPr>
      </w:pPr>
    </w:p>
    <w:p w:rsidR="00D3326A" w:rsidRPr="00A05E6C" w:rsidRDefault="00D3326A" w:rsidP="00D3326A">
      <w:pPr>
        <w:pStyle w:val="ListParagraph"/>
        <w:rPr>
          <w:rFonts w:ascii="Calibri" w:hAnsi="Calibri" w:cs="Calibri"/>
          <w:u w:val="single"/>
        </w:rPr>
      </w:pPr>
      <w:r w:rsidRPr="00A05E6C">
        <w:rPr>
          <w:rFonts w:ascii="Calibri" w:hAnsi="Calibri" w:cs="Calibri"/>
          <w:u w:val="single"/>
        </w:rPr>
        <w:lastRenderedPageBreak/>
        <w:t>Instalacja monitoringu.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Należy zmodernizować istniejący system monitoringu. W istniej rozdzielnicy kamer RK w miejsce istniejącego należy zamontować Switch </w:t>
      </w:r>
      <w:proofErr w:type="spellStart"/>
      <w:r>
        <w:rPr>
          <w:rFonts w:ascii="Calibri" w:hAnsi="Calibri" w:cs="Calibri"/>
        </w:rPr>
        <w:t>Landberg</w:t>
      </w:r>
      <w:proofErr w:type="spellEnd"/>
      <w:r>
        <w:rPr>
          <w:rFonts w:ascii="Calibri" w:hAnsi="Calibri" w:cs="Calibri"/>
        </w:rPr>
        <w:t xml:space="preserve"> RSGE-16. Obecnie w obiekcie zamontowane są 4 kamery. Kamery K1 i K7 pozostają na swoich miejscach. Kamery K3 i K4 przenoszone są w inne miejsca. 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>K2,K5,K6 to kamery nowoprojektowane.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 Wszystkie kamery zasilić nowymi przewodami UTP 4x2x0,5 z RK.   </w:t>
      </w:r>
    </w:p>
    <w:p w:rsidR="00D3326A" w:rsidRPr="00A05E6C" w:rsidRDefault="00D3326A" w:rsidP="00D3326A">
      <w:pPr>
        <w:pStyle w:val="ListParagraph"/>
        <w:rPr>
          <w:rFonts w:ascii="Calibri" w:hAnsi="Calibri" w:cs="Calibri"/>
          <w:u w:val="single"/>
        </w:rPr>
      </w:pPr>
      <w:r w:rsidRPr="00A05E6C">
        <w:rPr>
          <w:rFonts w:ascii="Calibri" w:hAnsi="Calibri" w:cs="Calibri"/>
          <w:u w:val="single"/>
        </w:rPr>
        <w:t>Instalacja LAN.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 w:rsidRPr="00A05E6C">
        <w:rPr>
          <w:rFonts w:ascii="Calibri" w:hAnsi="Calibri" w:cs="Calibri"/>
        </w:rPr>
        <w:t xml:space="preserve">Należy zmodernizować istniejący system </w:t>
      </w:r>
      <w:r>
        <w:rPr>
          <w:rFonts w:ascii="Calibri" w:hAnsi="Calibri" w:cs="Calibri"/>
        </w:rPr>
        <w:t>LAN</w:t>
      </w:r>
      <w:r w:rsidRPr="00A05E6C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 xml:space="preserve">Projektuje się pośrednią szafę dystrybucyjną RT, z której zasilane będą przewodami </w:t>
      </w:r>
      <w:hyperlink w:history="1">
        <w:r w:rsidRPr="00A05E6C">
          <w:rPr>
            <w:rStyle w:val="Hipercze"/>
            <w:rFonts w:ascii="Calibri" w:hAnsi="Calibri" w:cs="Calibri"/>
          </w:rPr>
          <w:t>FTP 4x2x0,5</w:t>
        </w:r>
      </w:hyperlink>
      <w:r>
        <w:rPr>
          <w:rFonts w:ascii="Calibri" w:hAnsi="Calibri" w:cs="Calibri"/>
        </w:rPr>
        <w:t xml:space="preserve"> kat 6a wszystkie projektowane punkty abonenckie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 PA-1 do PA-12.Punkt abonencki to 2 gniazda podwójne RJ45 kat 6a i dwa gniazda 230V DATA umieszczone w ramce sześciokrotnej.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>Projektowaną szafę RT połączyć kablem światłowodowym z-</w:t>
      </w:r>
      <w:proofErr w:type="spellStart"/>
      <w:r>
        <w:rPr>
          <w:rFonts w:ascii="Calibri" w:hAnsi="Calibri" w:cs="Calibri"/>
        </w:rPr>
        <w:t>xotktsd</w:t>
      </w:r>
      <w:proofErr w:type="spellEnd"/>
      <w:r>
        <w:rPr>
          <w:rFonts w:ascii="Calibri" w:hAnsi="Calibri" w:cs="Calibri"/>
        </w:rPr>
        <w:t xml:space="preserve"> 12j z istniejącą szafą dystrybucyjną na piętrze obiektu. Dodatkowo pomiędzy szafą RT , a istniejącą szafą dystrybucyjną na piętrze ułożyć dwa </w:t>
      </w:r>
      <w:r w:rsidRPr="008F51EF">
        <w:rPr>
          <w:rFonts w:ascii="Calibri" w:hAnsi="Calibri" w:cs="Calibri"/>
        </w:rPr>
        <w:t xml:space="preserve">przewody </w:t>
      </w:r>
      <w:hyperlink w:history="1">
        <w:r w:rsidRPr="008F51EF">
          <w:rPr>
            <w:rStyle w:val="Hipercze"/>
            <w:rFonts w:ascii="Calibri" w:hAnsi="Calibri" w:cs="Calibri"/>
          </w:rPr>
          <w:t>FTP 4x2x0,5</w:t>
        </w:r>
      </w:hyperlink>
      <w:r w:rsidRPr="008F51EF">
        <w:rPr>
          <w:rFonts w:ascii="Calibri" w:hAnsi="Calibri" w:cs="Calibri"/>
        </w:rPr>
        <w:t xml:space="preserve"> </w:t>
      </w:r>
      <w:proofErr w:type="spellStart"/>
      <w:r w:rsidRPr="008F51EF">
        <w:rPr>
          <w:rFonts w:ascii="Calibri" w:hAnsi="Calibri" w:cs="Calibri"/>
        </w:rPr>
        <w:t>cat</w:t>
      </w:r>
      <w:proofErr w:type="spellEnd"/>
      <w:r w:rsidRPr="008F51EF">
        <w:rPr>
          <w:rFonts w:ascii="Calibri" w:hAnsi="Calibri" w:cs="Calibri"/>
        </w:rPr>
        <w:t xml:space="preserve"> 6.</w:t>
      </w:r>
      <w:r>
        <w:rPr>
          <w:rFonts w:ascii="Calibri" w:hAnsi="Calibri" w:cs="Calibri"/>
        </w:rPr>
        <w:t xml:space="preserve"> </w:t>
      </w:r>
    </w:p>
    <w:p w:rsidR="00D3326A" w:rsidRDefault="00D3326A" w:rsidP="003E48E1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Instalacje wykonać zgodnie z rys. E-1 i E-3.Jako RT zaprojektowano szafę RACK 19” o wysokości 12U z zasilaczem awaryjnym APC z namiarowym zapasem podtrzymania. Zakończenia przewodów LAN  wykonać wg sekwencji TIA/EWIA-568-B. Okablowanie sieci zakończyć na </w:t>
      </w:r>
      <w:proofErr w:type="spellStart"/>
      <w:r>
        <w:rPr>
          <w:rFonts w:ascii="Calibri" w:hAnsi="Calibri" w:cs="Calibri"/>
        </w:rPr>
        <w:t>patchpanelu</w:t>
      </w:r>
      <w:proofErr w:type="spellEnd"/>
      <w:r>
        <w:rPr>
          <w:rFonts w:ascii="Calibri" w:hAnsi="Calibri" w:cs="Calibri"/>
        </w:rPr>
        <w:t xml:space="preserve">. Zarządzany przełącznik sieciowy 48 portowy marki </w:t>
      </w:r>
      <w:proofErr w:type="spellStart"/>
      <w:r>
        <w:rPr>
          <w:rFonts w:ascii="Calibri" w:hAnsi="Calibri" w:cs="Calibri"/>
        </w:rPr>
        <w:t>Netgear</w:t>
      </w:r>
      <w:proofErr w:type="spellEnd"/>
      <w:r>
        <w:rPr>
          <w:rFonts w:ascii="Calibri" w:hAnsi="Calibri" w:cs="Calibri"/>
        </w:rPr>
        <w:t xml:space="preserve"> wraz z portami SFP+ 12x10G.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Kompatybilne wkładki SFP+ x4. 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</w:p>
    <w:p w:rsidR="00D3326A" w:rsidRDefault="00D3326A" w:rsidP="00D3326A">
      <w:pPr>
        <w:pStyle w:val="ListParagraph"/>
        <w:rPr>
          <w:rFonts w:ascii="Calibri" w:hAnsi="Calibri" w:cs="Calibri"/>
        </w:rPr>
      </w:pPr>
    </w:p>
    <w:p w:rsidR="00D3326A" w:rsidRPr="00AC09D8" w:rsidRDefault="00D3326A" w:rsidP="00D3326A">
      <w:pPr>
        <w:pStyle w:val="ListParagraph"/>
        <w:numPr>
          <w:ilvl w:val="1"/>
          <w:numId w:val="4"/>
        </w:numPr>
        <w:jc w:val="both"/>
        <w:rPr>
          <w:rFonts w:ascii="Calibri" w:hAnsi="Calibri"/>
          <w:b/>
          <w:bCs/>
        </w:rPr>
      </w:pPr>
      <w:bookmarkStart w:id="4" w:name="_Hlk125624890"/>
      <w:bookmarkStart w:id="5" w:name="_Hlk125624927"/>
      <w:r w:rsidRPr="00AC09D8">
        <w:rPr>
          <w:rFonts w:ascii="Calibri" w:hAnsi="Calibri"/>
          <w:b/>
        </w:rPr>
        <w:t xml:space="preserve">INSTALACJE OŚWIETLENIA </w:t>
      </w:r>
      <w:bookmarkEnd w:id="4"/>
      <w:r w:rsidRPr="00AC09D8">
        <w:rPr>
          <w:rFonts w:ascii="Calibri" w:hAnsi="Calibri"/>
          <w:b/>
        </w:rPr>
        <w:t>AWARYJNEGO I EWAKUACYJNEGO</w:t>
      </w:r>
    </w:p>
    <w:bookmarkEnd w:id="5"/>
    <w:p w:rsidR="00D3326A" w:rsidRPr="00AC09D8" w:rsidRDefault="00D3326A" w:rsidP="00D3326A">
      <w:pPr>
        <w:pStyle w:val="ListParagraph"/>
        <w:rPr>
          <w:rFonts w:ascii="Calibri" w:hAnsi="Calibri"/>
          <w:b/>
        </w:rPr>
      </w:pPr>
      <w:r w:rsidRPr="00AC09D8">
        <w:rPr>
          <w:rFonts w:ascii="Calibri" w:hAnsi="Calibri"/>
          <w:b/>
        </w:rPr>
        <w:t xml:space="preserve">- Charakterystyka i wymagania dla projektowanych elementów </w:t>
      </w:r>
    </w:p>
    <w:p w:rsidR="00D3326A" w:rsidRPr="00AC09D8" w:rsidRDefault="00D3326A" w:rsidP="00D3326A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 xml:space="preserve">Stosować oprawy z modułem jednogodzinnym z </w:t>
      </w:r>
      <w:proofErr w:type="spellStart"/>
      <w:r w:rsidRPr="00AC09D8">
        <w:rPr>
          <w:rFonts w:ascii="Calibri" w:hAnsi="Calibri"/>
          <w:bCs/>
        </w:rPr>
        <w:t>autotestem</w:t>
      </w:r>
      <w:proofErr w:type="spellEnd"/>
      <w:r w:rsidRPr="00AC09D8">
        <w:rPr>
          <w:rFonts w:ascii="Calibri" w:hAnsi="Calibri"/>
          <w:bCs/>
        </w:rPr>
        <w:t xml:space="preserve">.  </w:t>
      </w:r>
    </w:p>
    <w:p w:rsidR="00D3326A" w:rsidRPr="00AC09D8" w:rsidRDefault="00D3326A" w:rsidP="003E48E1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 xml:space="preserve">Wszystkie oprawy oświetlenia awaryjnego muszą posiadać pozytywne wyniki badań na zgodność z normą PN-EN 50172. </w:t>
      </w:r>
    </w:p>
    <w:p w:rsidR="00D3326A" w:rsidRPr="00AC09D8" w:rsidRDefault="00D3326A" w:rsidP="00D3326A">
      <w:pPr>
        <w:pStyle w:val="ListParagraph"/>
        <w:rPr>
          <w:rFonts w:ascii="Calibri" w:hAnsi="Calibri"/>
          <w:bCs/>
        </w:rPr>
      </w:pPr>
      <w:r>
        <w:rPr>
          <w:rFonts w:ascii="Calibri" w:hAnsi="Calibri"/>
          <w:bCs/>
        </w:rPr>
        <w:t>S</w:t>
      </w:r>
      <w:r w:rsidRPr="00AC09D8">
        <w:rPr>
          <w:rFonts w:ascii="Calibri" w:hAnsi="Calibri"/>
          <w:bCs/>
        </w:rPr>
        <w:t>tosować przewody typu</w:t>
      </w:r>
      <w:r>
        <w:rPr>
          <w:rFonts w:ascii="Calibri" w:hAnsi="Calibri"/>
          <w:bCs/>
        </w:rPr>
        <w:t xml:space="preserve"> </w:t>
      </w:r>
      <w:r w:rsidRPr="00AC09D8">
        <w:rPr>
          <w:rFonts w:ascii="Calibri" w:hAnsi="Calibri"/>
          <w:bCs/>
        </w:rPr>
        <w:t xml:space="preserve">N2XH-J </w:t>
      </w:r>
      <w:r>
        <w:rPr>
          <w:rFonts w:ascii="Calibri" w:hAnsi="Calibri"/>
          <w:bCs/>
        </w:rPr>
        <w:t>4</w:t>
      </w:r>
      <w:r w:rsidRPr="00AC09D8">
        <w:rPr>
          <w:rFonts w:ascii="Calibri" w:hAnsi="Calibri"/>
          <w:bCs/>
        </w:rPr>
        <w:t>x1,5 (B2ca</w:t>
      </w:r>
      <w:r w:rsidRPr="00AC09D8">
        <w:rPr>
          <w:rFonts w:ascii="Cambria Math" w:hAnsi="Cambria Math" w:cs="Cambria Math"/>
          <w:bCs/>
        </w:rPr>
        <w:t>‑</w:t>
      </w:r>
      <w:r w:rsidRPr="00AC09D8">
        <w:rPr>
          <w:rFonts w:ascii="Calibri" w:hAnsi="Calibri"/>
          <w:bCs/>
        </w:rPr>
        <w:t xml:space="preserve">s1a, d0, a1).W nawiasie podano klasę reakcji na ogień . </w:t>
      </w:r>
    </w:p>
    <w:p w:rsidR="00D3326A" w:rsidRPr="00AC09D8" w:rsidRDefault="00D3326A" w:rsidP="00D3326A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>Rodzaj i rozmieszczenie opraw wg rys. E-</w:t>
      </w:r>
      <w:r w:rsidR="003E48E1">
        <w:rPr>
          <w:rFonts w:ascii="Calibri" w:hAnsi="Calibri"/>
          <w:bCs/>
        </w:rPr>
        <w:t>0</w:t>
      </w:r>
      <w:r>
        <w:rPr>
          <w:rFonts w:ascii="Calibri" w:hAnsi="Calibri"/>
          <w:bCs/>
        </w:rPr>
        <w:t>1</w:t>
      </w:r>
      <w:r w:rsidRPr="00AC09D8">
        <w:rPr>
          <w:rFonts w:ascii="Calibri" w:hAnsi="Calibri"/>
          <w:bCs/>
        </w:rPr>
        <w:t>.</w:t>
      </w:r>
    </w:p>
    <w:p w:rsidR="00D3326A" w:rsidRPr="00AC09D8" w:rsidRDefault="00D3326A" w:rsidP="00D3326A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>W czasie eksploatacji instalacji oświetlenia awaryjnego i ewakuacyjnego należy przeprowadzać:</w:t>
      </w:r>
    </w:p>
    <w:p w:rsidR="00D3326A" w:rsidRPr="00AC09D8" w:rsidRDefault="00D3326A" w:rsidP="00D3326A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>1 Test comiesięczny</w:t>
      </w:r>
    </w:p>
    <w:p w:rsidR="00D3326A" w:rsidRPr="00AC09D8" w:rsidRDefault="00D3326A" w:rsidP="00D3326A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>Polega na symulacji pracy awaryjnej i polega na sprawdzeniu czy wszystkie przewidziane oprawy ewakuacyjne i znaki bezpieczeństwa przełączyły się do pracy awaryjnej oraz powróciły do normalnej pracy po powrocie zasilania sieciowego. Czas trwania testu powinien być wystarczający by skontrolować funkcjonowanie opraw w testowanej strefie. Podczas tego okresu należy sprawdzić wszystkie oprawy oświetleniowe i znaki, aby upewnić się, czy istnieją, czy są czyste oraz czy prawidłowo funkcjonują.</w:t>
      </w:r>
    </w:p>
    <w:p w:rsidR="00D3326A" w:rsidRPr="00AC09D8" w:rsidRDefault="00D3326A" w:rsidP="00D3326A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>1 Test coroczny</w:t>
      </w:r>
    </w:p>
    <w:p w:rsidR="00D3326A" w:rsidRPr="00AC09D8" w:rsidRDefault="00D3326A" w:rsidP="00D3326A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 xml:space="preserve">Polega na sprawdzeniu systemu oświetlenia awaryjnego pod względem funkcjonalności tzn. poprzez symulację uszkodzenia zasilania podstawowego. Należy sprawdzić, czy  wszystkie przewidziane oprawy ewakuacyjne i znaki bezpieczeństwa przełączyły się do pracy awaryjnej </w:t>
      </w:r>
      <w:r w:rsidRPr="00AC09D8">
        <w:rPr>
          <w:rFonts w:ascii="Calibri" w:hAnsi="Calibri"/>
          <w:bCs/>
        </w:rPr>
        <w:lastRenderedPageBreak/>
        <w:t>oraz powróciły do normalnej pracy po powrocie zasilania sieciowego. Czas trwania testu powinien być wystarczający do sprawdzenia przewidzianej autonomii podtrzymania oświetlenia awaryjnego zgodnie z informacją producenta.</w:t>
      </w:r>
    </w:p>
    <w:p w:rsidR="00D3326A" w:rsidRPr="00AC09D8" w:rsidRDefault="00D3326A" w:rsidP="00F04FF9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>W trakcie testu należy sprawdzić każdą lampkę kontrolną lub urządzenie, w celu upewnienia się, że wskazania są prawidłowe.</w:t>
      </w:r>
    </w:p>
    <w:p w:rsidR="00D3326A" w:rsidRPr="00AC09D8" w:rsidRDefault="00D3326A" w:rsidP="00D3326A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>Z przeprowadzonych prób należy sporządzić stosowne protokoły.</w:t>
      </w:r>
    </w:p>
    <w:p w:rsidR="00D3326A" w:rsidRDefault="00D3326A" w:rsidP="00D3326A">
      <w:pPr>
        <w:pStyle w:val="ListParagraph"/>
        <w:rPr>
          <w:rFonts w:ascii="Calibri" w:hAnsi="Calibri"/>
          <w:bCs/>
        </w:rPr>
      </w:pPr>
      <w:r w:rsidRPr="00AC09D8">
        <w:rPr>
          <w:rFonts w:ascii="Calibri" w:hAnsi="Calibri"/>
          <w:bCs/>
        </w:rPr>
        <w:t>Rodzaj i rozmieszczenie opraw wg rys. E-0</w:t>
      </w:r>
      <w:r>
        <w:rPr>
          <w:rFonts w:ascii="Calibri" w:hAnsi="Calibri"/>
          <w:bCs/>
        </w:rPr>
        <w:t>1.</w:t>
      </w:r>
    </w:p>
    <w:p w:rsidR="00D3326A" w:rsidRPr="00C55DF2" w:rsidRDefault="00D3326A" w:rsidP="00D3326A">
      <w:pPr>
        <w:pStyle w:val="ListParagraph"/>
        <w:rPr>
          <w:rFonts w:ascii="Calibri" w:hAnsi="Calibri" w:cs="Calibri"/>
          <w:b/>
          <w:bCs/>
        </w:rPr>
      </w:pPr>
      <w:r w:rsidRPr="00C55DF2">
        <w:rPr>
          <w:rFonts w:ascii="Calibri" w:hAnsi="Calibri" w:cs="Calibri"/>
          <w:b/>
          <w:bCs/>
        </w:rPr>
        <w:t xml:space="preserve">- Oświetlenie drogi ewakuacyjnej  </w:t>
      </w:r>
    </w:p>
    <w:p w:rsidR="00D3326A" w:rsidRPr="00C55DF2" w:rsidRDefault="00D3326A" w:rsidP="00D3326A">
      <w:pPr>
        <w:pStyle w:val="ListParagraph"/>
        <w:rPr>
          <w:rFonts w:ascii="Calibri" w:hAnsi="Calibri" w:cs="Calibri"/>
        </w:rPr>
      </w:pPr>
      <w:r w:rsidRPr="00C55DF2">
        <w:rPr>
          <w:rFonts w:ascii="Calibri" w:hAnsi="Calibri" w:cs="Calibri"/>
        </w:rPr>
        <w:t xml:space="preserve">Celem oświetlenia drogi ewakuacyjnej jest umożliwienie bezpiecznego wyjścia z miejsc przebywania osób poprzez umożliwienie zlokalizowania sprzętu pożarowego. </w:t>
      </w:r>
    </w:p>
    <w:p w:rsidR="003E48E1" w:rsidRDefault="00D3326A" w:rsidP="00D3326A">
      <w:pPr>
        <w:pStyle w:val="ListParagraph"/>
        <w:rPr>
          <w:rFonts w:ascii="Calibri" w:hAnsi="Calibri" w:cs="Calibri"/>
        </w:rPr>
      </w:pPr>
      <w:r w:rsidRPr="00C55DF2">
        <w:rPr>
          <w:rFonts w:ascii="Calibri" w:hAnsi="Calibri" w:cs="Calibri"/>
        </w:rPr>
        <w:t>W przypadku dróg ewakuacyjnych o szerokości do 2m, średnie natężenie oświetlenia na podłodze względem środkowej linii drogi ewakuacyjnej powinno być nie mniejsze niż 1 lx,</w:t>
      </w:r>
    </w:p>
    <w:p w:rsidR="00D3326A" w:rsidRPr="00C55DF2" w:rsidRDefault="00D3326A" w:rsidP="00D3326A">
      <w:pPr>
        <w:pStyle w:val="ListParagraph"/>
        <w:rPr>
          <w:rFonts w:ascii="Calibri" w:hAnsi="Calibri" w:cs="Calibri"/>
        </w:rPr>
      </w:pPr>
      <w:r w:rsidRPr="00C55DF2">
        <w:rPr>
          <w:rFonts w:ascii="Calibri" w:hAnsi="Calibri" w:cs="Calibri"/>
        </w:rPr>
        <w:t xml:space="preserve"> a na centralnym pasie drogi, obejmującym nie mniej niż połowę szerokości drogi, natężenie oświetlenia powinno stanowić, co najmniej 50% podanej wartości.</w:t>
      </w:r>
    </w:p>
    <w:p w:rsidR="00D3326A" w:rsidRPr="00C55DF2" w:rsidRDefault="00D3326A" w:rsidP="00D3326A">
      <w:pPr>
        <w:pStyle w:val="ListParagraph"/>
        <w:rPr>
          <w:rFonts w:ascii="Calibri" w:hAnsi="Calibri" w:cs="Calibri"/>
        </w:rPr>
      </w:pPr>
      <w:r w:rsidRPr="00C55DF2">
        <w:rPr>
          <w:rFonts w:ascii="Calibri" w:hAnsi="Calibri" w:cs="Calibri"/>
        </w:rPr>
        <w:t>Szersze drogi ewakuacyjne mogą być traktowane jako kilka dróg o szerokości 2m lub powinny spełniać wymagania strefy otwartej.</w:t>
      </w:r>
    </w:p>
    <w:p w:rsidR="00D3326A" w:rsidRPr="00AC09D8" w:rsidRDefault="00D3326A" w:rsidP="00D3326A">
      <w:pPr>
        <w:pStyle w:val="ListParagraph"/>
        <w:rPr>
          <w:rFonts w:ascii="Calibri" w:hAnsi="Calibri" w:cs="Calibri"/>
        </w:rPr>
      </w:pPr>
      <w:r w:rsidRPr="00C55DF2">
        <w:rPr>
          <w:rFonts w:ascii="Calibri" w:hAnsi="Calibri" w:cs="Calibri"/>
        </w:rPr>
        <w:t xml:space="preserve">Stosunek maksymalnego natężenia oświetlenia do minimalnego natężenia oświetlenia wzdłuż centralnej linii drogi ewakuacyjnej nie powinien być większy niż 40 : 1.  </w:t>
      </w:r>
    </w:p>
    <w:p w:rsidR="00D3326A" w:rsidRPr="00C55DF2" w:rsidRDefault="00D3326A" w:rsidP="00D3326A">
      <w:pPr>
        <w:pStyle w:val="ListParagraph"/>
        <w:rPr>
          <w:rFonts w:ascii="Calibri" w:hAnsi="Calibri" w:cs="Calibri"/>
          <w:b/>
          <w:bCs/>
        </w:rPr>
      </w:pPr>
      <w:r w:rsidRPr="00C55DF2">
        <w:rPr>
          <w:rFonts w:ascii="Calibri" w:hAnsi="Calibri" w:cs="Calibri"/>
          <w:b/>
          <w:bCs/>
        </w:rPr>
        <w:t xml:space="preserve">- Oznakowanie kierunkowe (znaki bezpieczeństwa) </w:t>
      </w:r>
    </w:p>
    <w:p w:rsidR="00D3326A" w:rsidRPr="00C55DF2" w:rsidRDefault="00D3326A" w:rsidP="00D3326A">
      <w:pPr>
        <w:pStyle w:val="ListParagraph"/>
        <w:rPr>
          <w:rFonts w:ascii="Calibri" w:hAnsi="Calibri" w:cs="Calibri"/>
        </w:rPr>
      </w:pPr>
      <w:r w:rsidRPr="00C55DF2">
        <w:rPr>
          <w:rFonts w:ascii="Calibri" w:hAnsi="Calibri" w:cs="Calibri"/>
        </w:rPr>
        <w:t>W celu zapewnienia właściwej widzialności umożliwiającej bezpieczną ewakuację wskazane jest, aby oprawy oświetlenia awaryjnego umieszczane były co najmniej 2m nad podłogą.</w:t>
      </w:r>
    </w:p>
    <w:p w:rsidR="00D3326A" w:rsidRPr="00C55DF2" w:rsidRDefault="00D3326A" w:rsidP="00D3326A">
      <w:pPr>
        <w:pStyle w:val="ListParagraph"/>
        <w:rPr>
          <w:rFonts w:ascii="Calibri" w:hAnsi="Calibri" w:cs="Calibri"/>
        </w:rPr>
      </w:pPr>
      <w:r w:rsidRPr="00C55DF2">
        <w:rPr>
          <w:rFonts w:ascii="Calibri" w:hAnsi="Calibri" w:cs="Calibri"/>
        </w:rPr>
        <w:t xml:space="preserve">W celu zapewnienia odpowiedniego natężenia oświetlenia, oprawy oświetleniowe do oświetlenia ewakuacyjnego, powinny być usytuowane w pobliżu każdych drzwi wyjściowych oraz w takich miejscach, gdzie to konieczne, aby zwrócić uwagę na potencjalne niebezpieczeństwo lub umieszczony sprzęt bezpieczeństwa. </w:t>
      </w:r>
    </w:p>
    <w:p w:rsidR="00D3326A" w:rsidRDefault="00D3326A" w:rsidP="00D3326A">
      <w:pPr>
        <w:pStyle w:val="ListParagraph"/>
        <w:rPr>
          <w:rFonts w:ascii="Calibri" w:hAnsi="Calibri" w:cs="Calibri"/>
        </w:rPr>
      </w:pPr>
      <w:r w:rsidRPr="00C55DF2">
        <w:rPr>
          <w:rFonts w:ascii="Calibri" w:hAnsi="Calibri" w:cs="Calibri"/>
        </w:rPr>
        <w:t>Jeśli punkty pierwszej pomocy lub urządzenia przeciwpożarowe i przyciski alarmowe nie znajdują się na drodze ewakuacyjnej ani w strefie otwartej, to powinny one być tak oświetlone, aby natężenie oświetlenia na podłodze w ich pobliżu wynosiło co najmniej 5 lx.</w:t>
      </w:r>
    </w:p>
    <w:p w:rsidR="00D3326A" w:rsidRPr="00AC09D8" w:rsidRDefault="00D3326A" w:rsidP="00D3326A">
      <w:pPr>
        <w:pStyle w:val="ListParagraph"/>
        <w:numPr>
          <w:ilvl w:val="1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</w:rPr>
        <w:t>UWAGI OGÓLNE</w:t>
      </w:r>
    </w:p>
    <w:p w:rsidR="003E48E1" w:rsidRDefault="00D3326A" w:rsidP="00D3326A">
      <w:pPr>
        <w:pStyle w:val="Nagwek2"/>
        <w:numPr>
          <w:ilvl w:val="0"/>
          <w:numId w:val="0"/>
        </w:numPr>
        <w:tabs>
          <w:tab w:val="clear" w:pos="851"/>
          <w:tab w:val="left" w:pos="709"/>
        </w:tabs>
        <w:spacing w:line="240" w:lineRule="auto"/>
        <w:ind w:left="720" w:hanging="360"/>
        <w:rPr>
          <w:b w:val="0"/>
          <w:bCs w:val="0"/>
        </w:rPr>
      </w:pPr>
      <w:r>
        <w:t xml:space="preserve">       </w:t>
      </w:r>
      <w:r w:rsidRPr="004D63F3">
        <w:rPr>
          <w:b w:val="0"/>
          <w:bCs w:val="0"/>
        </w:rPr>
        <w:t>Całość prac wykonać zgodnie z obowiązującymi normami serii PN-HD 60364-4,</w:t>
      </w:r>
    </w:p>
    <w:p w:rsidR="003E48E1" w:rsidRPr="00CD315B" w:rsidRDefault="003E48E1" w:rsidP="003E48E1">
      <w:pPr>
        <w:pStyle w:val="Nagwek2"/>
        <w:numPr>
          <w:ilvl w:val="0"/>
          <w:numId w:val="0"/>
        </w:numPr>
        <w:tabs>
          <w:tab w:val="clear" w:pos="851"/>
          <w:tab w:val="left" w:pos="709"/>
        </w:tabs>
        <w:spacing w:line="240" w:lineRule="auto"/>
        <w:ind w:left="708"/>
        <w:rPr>
          <w:b w:val="0"/>
          <w:bCs w:val="0"/>
        </w:rPr>
      </w:pPr>
      <w:r>
        <w:rPr>
          <w:b w:val="0"/>
          <w:bCs w:val="0"/>
        </w:rPr>
        <w:tab/>
      </w:r>
      <w:r w:rsidR="00D3326A" w:rsidRPr="004D63F3">
        <w:rPr>
          <w:b w:val="0"/>
          <w:bCs w:val="0"/>
        </w:rPr>
        <w:t>PN-HD 60364-5</w:t>
      </w:r>
      <w:r w:rsidR="00D3326A">
        <w:rPr>
          <w:b w:val="0"/>
          <w:bCs w:val="0"/>
        </w:rPr>
        <w:t>,</w:t>
      </w:r>
      <w:r w:rsidRPr="003E48E1">
        <w:rPr>
          <w:b w:val="0"/>
          <w:bCs w:val="0"/>
        </w:rPr>
        <w:t xml:space="preserve"> </w:t>
      </w:r>
      <w:r w:rsidRPr="004D63F3">
        <w:rPr>
          <w:b w:val="0"/>
          <w:bCs w:val="0"/>
        </w:rPr>
        <w:t>PN-EN 62305</w:t>
      </w:r>
      <w:r>
        <w:rPr>
          <w:b w:val="0"/>
          <w:bCs w:val="0"/>
        </w:rPr>
        <w:t xml:space="preserve"> i </w:t>
      </w:r>
      <w:r w:rsidRPr="004D63F3">
        <w:rPr>
          <w:b w:val="0"/>
          <w:bCs w:val="0"/>
        </w:rPr>
        <w:t>PN-EN 50172.</w:t>
      </w:r>
      <w:r>
        <w:rPr>
          <w:b w:val="0"/>
          <w:bCs w:val="0"/>
        </w:rPr>
        <w:t xml:space="preserve"> </w:t>
      </w:r>
      <w:r w:rsidRPr="004D63F3">
        <w:rPr>
          <w:b w:val="0"/>
          <w:bCs w:val="0"/>
        </w:rPr>
        <w:t>Instalacje powinna wykonywać osoba posiadająca odpowiednie kwalifikacj</w:t>
      </w:r>
      <w:r>
        <w:rPr>
          <w:b w:val="0"/>
          <w:bCs w:val="0"/>
        </w:rPr>
        <w:t>e</w:t>
      </w:r>
      <w:r w:rsidRPr="004D63F3">
        <w:rPr>
          <w:b w:val="0"/>
          <w:bCs w:val="0"/>
        </w:rPr>
        <w:t xml:space="preserve"> i uprawnienia.</w:t>
      </w:r>
      <w:r w:rsidRPr="004D63F3">
        <w:t xml:space="preserve"> </w:t>
      </w:r>
      <w:r w:rsidRPr="004D63F3">
        <w:rPr>
          <w:b w:val="0"/>
          <w:bCs w:val="0"/>
        </w:rPr>
        <w:t>Po wykonaniu instalacji wykonać pomiary kontrolne i załączyć je do protokołu odbioru.</w:t>
      </w:r>
    </w:p>
    <w:p w:rsidR="003E48E1" w:rsidRDefault="003E48E1" w:rsidP="003E48E1">
      <w:pPr>
        <w:pStyle w:val="WW-Nagwek"/>
        <w:tabs>
          <w:tab w:val="clear" w:pos="4536"/>
          <w:tab w:val="clear" w:pos="9072"/>
          <w:tab w:val="left" w:pos="426"/>
        </w:tabs>
        <w:ind w:left="426"/>
        <w:jc w:val="both"/>
        <w:rPr>
          <w:rFonts w:ascii="Calibri" w:hAnsi="Calibri"/>
          <w:bCs/>
          <w:sz w:val="22"/>
        </w:rPr>
      </w:pPr>
    </w:p>
    <w:p w:rsidR="00A1774D" w:rsidRDefault="00000000"/>
    <w:sectPr w:rsidR="00A177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vantGarde Bk BT">
    <w:charset w:val="00"/>
    <w:family w:val="swiss"/>
    <w:pitch w:val="variable"/>
    <w:sig w:usb0="00000087" w:usb1="00000000" w:usb2="00000000" w:usb3="00000000" w:csb0="0000001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2E7467"/>
    <w:multiLevelType w:val="multilevel"/>
    <w:tmpl w:val="FDDC84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Calibri" w:hAnsi="Calibri" w:cs="Calibri" w:hint="default"/>
      </w:rPr>
    </w:lvl>
  </w:abstractNum>
  <w:abstractNum w:abstractNumId="2" w15:restartNumberingAfterBreak="0">
    <w:nsid w:val="2E233B9B"/>
    <w:multiLevelType w:val="hybridMultilevel"/>
    <w:tmpl w:val="AB5C573C"/>
    <w:lvl w:ilvl="0" w:tplc="7D8A92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32094"/>
    <w:multiLevelType w:val="hybridMultilevel"/>
    <w:tmpl w:val="46CC5D3C"/>
    <w:lvl w:ilvl="0" w:tplc="ECB2FDC0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3087083">
    <w:abstractNumId w:val="2"/>
  </w:num>
  <w:num w:numId="2" w16cid:durableId="161968098">
    <w:abstractNumId w:val="3"/>
  </w:num>
  <w:num w:numId="3" w16cid:durableId="844517183">
    <w:abstractNumId w:val="0"/>
  </w:num>
  <w:num w:numId="4" w16cid:durableId="1515145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2AF"/>
    <w:rsid w:val="00112A02"/>
    <w:rsid w:val="003112AF"/>
    <w:rsid w:val="003E48E1"/>
    <w:rsid w:val="004B35E8"/>
    <w:rsid w:val="004D45B9"/>
    <w:rsid w:val="00635C26"/>
    <w:rsid w:val="00667914"/>
    <w:rsid w:val="00D3326A"/>
    <w:rsid w:val="00F04FF9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03A2"/>
  <w15:docId w15:val="{517691C6-6055-4FCF-AEB6-5B4EF761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2AF"/>
    <w:rPr>
      <w:rFonts w:eastAsiaTheme="minorEastAsia"/>
      <w:lang w:eastAsia="pl-PL"/>
    </w:rPr>
  </w:style>
  <w:style w:type="paragraph" w:styleId="Nagwek2">
    <w:name w:val="heading 2"/>
    <w:link w:val="Nagwek2Znak"/>
    <w:qFormat/>
    <w:rsid w:val="00D3326A"/>
    <w:pPr>
      <w:widowControl w:val="0"/>
      <w:numPr>
        <w:numId w:val="1"/>
      </w:numPr>
      <w:tabs>
        <w:tab w:val="left" w:pos="851"/>
      </w:tabs>
      <w:suppressAutoHyphens/>
      <w:spacing w:after="0" w:line="360" w:lineRule="auto"/>
      <w:outlineLvl w:val="1"/>
    </w:pPr>
    <w:rPr>
      <w:rFonts w:ascii="Calibri" w:eastAsia="Times New Roman" w:hAnsi="Calibri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12A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3326A"/>
    <w:rPr>
      <w:rFonts w:ascii="Calibri" w:eastAsia="Times New Roman" w:hAnsi="Calibri" w:cs="Times New Roman"/>
      <w:b/>
      <w:bCs/>
      <w:szCs w:val="20"/>
      <w:lang w:eastAsia="pl-PL"/>
    </w:rPr>
  </w:style>
  <w:style w:type="character" w:styleId="Hipercze">
    <w:name w:val="Hyperlink"/>
    <w:uiPriority w:val="99"/>
    <w:rsid w:val="00D3326A"/>
    <w:rPr>
      <w:color w:val="0000FF"/>
      <w:u w:val="single"/>
    </w:rPr>
  </w:style>
  <w:style w:type="paragraph" w:customStyle="1" w:styleId="NoSpacing">
    <w:name w:val="No Spacing"/>
    <w:rsid w:val="00D3326A"/>
    <w:pPr>
      <w:suppressAutoHyphens/>
      <w:spacing w:after="0" w:line="240" w:lineRule="auto"/>
      <w:ind w:left="708"/>
      <w:jc w:val="both"/>
    </w:pPr>
    <w:rPr>
      <w:rFonts w:ascii="ISOCPEUR" w:eastAsia="Calibri" w:hAnsi="ISOCPEUR" w:cs="Times New Roman"/>
    </w:rPr>
  </w:style>
  <w:style w:type="paragraph" w:customStyle="1" w:styleId="ListParagraph">
    <w:name w:val="List Paragraph"/>
    <w:basedOn w:val="Normalny"/>
    <w:rsid w:val="00D3326A"/>
    <w:pPr>
      <w:spacing w:after="0"/>
      <w:ind w:left="720"/>
      <w:contextualSpacing/>
    </w:pPr>
    <w:rPr>
      <w:rFonts w:ascii="ISOCPEUR" w:eastAsia="Calibri" w:hAnsi="ISOCPEUR" w:cs="Times New Roman"/>
      <w:lang w:eastAsia="en-US"/>
    </w:rPr>
  </w:style>
  <w:style w:type="paragraph" w:customStyle="1" w:styleId="WW-Nagwek">
    <w:name w:val="WW-Nagłówek"/>
    <w:basedOn w:val="Normalny"/>
    <w:rsid w:val="00D3326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biuro</cp:lastModifiedBy>
  <cp:revision>4</cp:revision>
  <dcterms:created xsi:type="dcterms:W3CDTF">2023-05-25T06:33:00Z</dcterms:created>
  <dcterms:modified xsi:type="dcterms:W3CDTF">2023-05-30T07:29:00Z</dcterms:modified>
</cp:coreProperties>
</file>